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0A04" w14:textId="1840BF5A" w:rsidR="00661E9F" w:rsidRPr="00E872C2" w:rsidRDefault="00661E9F">
      <w:pPr>
        <w:rPr>
          <w:b/>
          <w:bCs/>
          <w:sz w:val="32"/>
          <w:szCs w:val="32"/>
        </w:rPr>
      </w:pPr>
      <w:r w:rsidRPr="00E872C2">
        <w:rPr>
          <w:b/>
          <w:bCs/>
          <w:sz w:val="32"/>
          <w:szCs w:val="32"/>
        </w:rPr>
        <w:t>Hailey Facilities (village hall and pavilion) Working Group</w:t>
      </w:r>
    </w:p>
    <w:p w14:paraId="2C87F6DF" w14:textId="77777777" w:rsidR="00380265" w:rsidRDefault="00380265">
      <w:pPr>
        <w:pBdr>
          <w:bottom w:val="single" w:sz="6" w:space="1" w:color="auto"/>
        </w:pBdr>
        <w:rPr>
          <w:b/>
          <w:bCs/>
        </w:rPr>
      </w:pPr>
    </w:p>
    <w:p w14:paraId="4442349A" w14:textId="77777777" w:rsidR="00380265" w:rsidRDefault="00380265">
      <w:pPr>
        <w:rPr>
          <w:b/>
          <w:bCs/>
        </w:rPr>
      </w:pPr>
    </w:p>
    <w:p w14:paraId="6A912377" w14:textId="7716985C" w:rsidR="006E0335" w:rsidRDefault="00661E9F">
      <w:r w:rsidRPr="00661E9F">
        <w:rPr>
          <w:b/>
          <w:bCs/>
        </w:rPr>
        <w:t>Meeting notes</w:t>
      </w:r>
      <w:r>
        <w:t>: from 18/10/23</w:t>
      </w:r>
    </w:p>
    <w:p w14:paraId="7CD76310" w14:textId="1B6CD9D5" w:rsidR="00661E9F" w:rsidRDefault="00661E9F">
      <w:pPr>
        <w:pBdr>
          <w:bottom w:val="single" w:sz="6" w:space="1" w:color="auto"/>
        </w:pBdr>
      </w:pPr>
      <w:r w:rsidRPr="00661E9F">
        <w:rPr>
          <w:b/>
          <w:bCs/>
        </w:rPr>
        <w:t>Present</w:t>
      </w:r>
      <w:r>
        <w:t>: Graham Knaggs, Judith Knaggs, Ann Gibson, Phil Sullivan, Andy Smith, Caryl Lansley, Steve Wolstenholme (SWA Architects)</w:t>
      </w:r>
    </w:p>
    <w:p w14:paraId="3B5C47DB" w14:textId="77777777" w:rsidR="00380265" w:rsidRDefault="00380265">
      <w:pPr>
        <w:pBdr>
          <w:bottom w:val="single" w:sz="6" w:space="1" w:color="auto"/>
        </w:pBdr>
      </w:pPr>
    </w:p>
    <w:p w14:paraId="1559637C" w14:textId="77777777" w:rsidR="00380265" w:rsidRDefault="00380265"/>
    <w:p w14:paraId="440967E3" w14:textId="2003E2DC" w:rsidR="00661E9F" w:rsidRPr="00E872C2" w:rsidRDefault="00661E9F">
      <w:pPr>
        <w:rPr>
          <w:u w:val="single"/>
        </w:rPr>
      </w:pPr>
      <w:r w:rsidRPr="00E872C2">
        <w:rPr>
          <w:u w:val="single"/>
        </w:rPr>
        <w:t>Progress recap</w:t>
      </w:r>
    </w:p>
    <w:p w14:paraId="59737C02" w14:textId="4B1B9235" w:rsidR="00661E9F" w:rsidRDefault="00661E9F" w:rsidP="00661E9F">
      <w:pPr>
        <w:pStyle w:val="ListParagraph"/>
        <w:numPr>
          <w:ilvl w:val="0"/>
          <w:numId w:val="2"/>
        </w:numPr>
      </w:pPr>
      <w:r>
        <w:t>A very high-level recap of progress was given</w:t>
      </w:r>
    </w:p>
    <w:p w14:paraId="22C72C9C" w14:textId="7BB657C0" w:rsidR="00B55ECD" w:rsidRDefault="00B55ECD" w:rsidP="00661E9F">
      <w:pPr>
        <w:pStyle w:val="ListParagraph"/>
        <w:numPr>
          <w:ilvl w:val="0"/>
          <w:numId w:val="2"/>
        </w:numPr>
      </w:pPr>
      <w:r>
        <w:t>It was agreed that the preferred option that will now be the group’s focus is for new build facilities to reflect the most recent consultation outcome (95% favoured this option)</w:t>
      </w:r>
    </w:p>
    <w:p w14:paraId="73676C58" w14:textId="2731D828" w:rsidR="00661E9F" w:rsidRPr="00E872C2" w:rsidRDefault="00661E9F">
      <w:pPr>
        <w:rPr>
          <w:u w:val="single"/>
        </w:rPr>
      </w:pPr>
      <w:r w:rsidRPr="00E872C2">
        <w:rPr>
          <w:u w:val="single"/>
        </w:rPr>
        <w:t>Costs</w:t>
      </w:r>
      <w:r w:rsidR="00E872C2">
        <w:rPr>
          <w:u w:val="single"/>
        </w:rPr>
        <w:t xml:space="preserve"> and funding</w:t>
      </w:r>
    </w:p>
    <w:p w14:paraId="6CBE6978" w14:textId="0E0A80D4" w:rsidR="00E872C2" w:rsidRDefault="00E872C2" w:rsidP="00661E9F">
      <w:pPr>
        <w:pStyle w:val="ListParagraph"/>
        <w:numPr>
          <w:ilvl w:val="0"/>
          <w:numId w:val="2"/>
        </w:numPr>
      </w:pPr>
      <w:r>
        <w:t>It was noted that the whole project relies on funds being available to pay for it, especially around Section 106 opportunities arising from the North Witney development (no money = no project)</w:t>
      </w:r>
    </w:p>
    <w:p w14:paraId="756AB787" w14:textId="4CB79361" w:rsidR="00E872C2" w:rsidRDefault="00E872C2" w:rsidP="00661E9F">
      <w:pPr>
        <w:pStyle w:val="ListParagraph"/>
        <w:numPr>
          <w:ilvl w:val="0"/>
          <w:numId w:val="2"/>
        </w:numPr>
      </w:pPr>
      <w:r>
        <w:t>We will soon need to set out a programme/timeline of potential funders, possible funding amounts from each, timings for funding being available, constraints, pre-requisites, etc.</w:t>
      </w:r>
    </w:p>
    <w:p w14:paraId="63AAACD1" w14:textId="5449971A" w:rsidR="00661E9F" w:rsidRDefault="00661E9F" w:rsidP="00661E9F">
      <w:pPr>
        <w:pStyle w:val="ListParagraph"/>
        <w:numPr>
          <w:ilvl w:val="0"/>
          <w:numId w:val="2"/>
        </w:numPr>
      </w:pPr>
      <w:r>
        <w:t>Steve reminded us that some</w:t>
      </w:r>
      <w:r w:rsidR="00E872C2">
        <w:t xml:space="preserve"> cost</w:t>
      </w:r>
      <w:r>
        <w:t xml:space="preserve"> items had not been included in the estimates provided to date, e.g. demolition costs, services provision</w:t>
      </w:r>
    </w:p>
    <w:p w14:paraId="2D8411C3" w14:textId="65FA6151" w:rsidR="00E872C2" w:rsidRPr="00C6566D" w:rsidRDefault="00E872C2" w:rsidP="00661E9F">
      <w:pPr>
        <w:pStyle w:val="ListParagraph"/>
        <w:numPr>
          <w:ilvl w:val="0"/>
          <w:numId w:val="2"/>
        </w:numPr>
      </w:pPr>
      <w:r w:rsidRPr="00C6566D">
        <w:rPr>
          <w:b/>
          <w:bCs/>
          <w:color w:val="FF0000"/>
        </w:rPr>
        <w:t xml:space="preserve">ACTION </w:t>
      </w:r>
      <w:r w:rsidRPr="00C6566D">
        <w:rPr>
          <w:b/>
          <w:bCs/>
        </w:rPr>
        <w:t xml:space="preserve">– </w:t>
      </w:r>
      <w:r w:rsidRPr="00380265">
        <w:rPr>
          <w:b/>
          <w:bCs/>
          <w:color w:val="FF0000"/>
        </w:rPr>
        <w:t>Steve</w:t>
      </w:r>
      <w:r w:rsidRPr="00380265">
        <w:rPr>
          <w:color w:val="FF0000"/>
        </w:rPr>
        <w:t xml:space="preserve"> </w:t>
      </w:r>
      <w:r w:rsidRPr="00C6566D">
        <w:t>to invoice for SWA’s outstanding costs incurred</w:t>
      </w:r>
    </w:p>
    <w:p w14:paraId="588CBF77" w14:textId="163D4BD6" w:rsidR="00661E9F" w:rsidRPr="00E872C2" w:rsidRDefault="00661E9F" w:rsidP="00661E9F">
      <w:pPr>
        <w:rPr>
          <w:u w:val="single"/>
        </w:rPr>
      </w:pPr>
      <w:r w:rsidRPr="00E872C2">
        <w:rPr>
          <w:u w:val="single"/>
        </w:rPr>
        <w:t>Location</w:t>
      </w:r>
    </w:p>
    <w:p w14:paraId="7CD1EDC4" w14:textId="5A97F845" w:rsidR="00E872C2" w:rsidRDefault="00E872C2" w:rsidP="00661E9F">
      <w:pPr>
        <w:pStyle w:val="ListParagraph"/>
        <w:numPr>
          <w:ilvl w:val="0"/>
          <w:numId w:val="1"/>
        </w:numPr>
      </w:pPr>
      <w:r>
        <w:t>Preferred location is still somewhere within the recreation ground footprint</w:t>
      </w:r>
    </w:p>
    <w:p w14:paraId="2028944B" w14:textId="24D9070A" w:rsidR="00E872C2" w:rsidRDefault="00E872C2" w:rsidP="00661E9F">
      <w:pPr>
        <w:pStyle w:val="ListParagraph"/>
        <w:numPr>
          <w:ilvl w:val="0"/>
          <w:numId w:val="1"/>
        </w:numPr>
      </w:pPr>
      <w:r>
        <w:t>There</w:t>
      </w:r>
      <w:r w:rsidR="00661E9F">
        <w:t xml:space="preserve"> has been an initial approach </w:t>
      </w:r>
      <w:r>
        <w:t>from the owners of the adjoining field regarding potential to work with them incorporating the larger area. Note that there has been nothing further discussed/agreed regarding this</w:t>
      </w:r>
    </w:p>
    <w:p w14:paraId="763DD073" w14:textId="4CFD163B" w:rsidR="00661E9F" w:rsidRDefault="00E872C2" w:rsidP="00661E9F">
      <w:pPr>
        <w:pStyle w:val="ListParagraph"/>
        <w:numPr>
          <w:ilvl w:val="0"/>
          <w:numId w:val="1"/>
        </w:numPr>
      </w:pPr>
      <w:r>
        <w:t>Agreed that the design is (and should remain) location-agnostic as far as possible</w:t>
      </w:r>
    </w:p>
    <w:p w14:paraId="781A348F" w14:textId="5D80BE97" w:rsidR="00661E9F" w:rsidRPr="00E872C2" w:rsidRDefault="00661E9F" w:rsidP="00661E9F">
      <w:pPr>
        <w:rPr>
          <w:u w:val="single"/>
        </w:rPr>
      </w:pPr>
      <w:r w:rsidRPr="00E872C2">
        <w:rPr>
          <w:u w:val="single"/>
        </w:rPr>
        <w:t>Village hall design</w:t>
      </w:r>
    </w:p>
    <w:p w14:paraId="6E7B6019" w14:textId="7A2FF829" w:rsidR="00B55ECD" w:rsidRDefault="00B55ECD" w:rsidP="00661E9F">
      <w:pPr>
        <w:pStyle w:val="ListParagraph"/>
        <w:numPr>
          <w:ilvl w:val="0"/>
          <w:numId w:val="1"/>
        </w:numPr>
      </w:pPr>
      <w:r>
        <w:t>General discussion regarding current (now c18 moths old) design following feedback received from the recent consultation events</w:t>
      </w:r>
    </w:p>
    <w:p w14:paraId="55BE09DC" w14:textId="25D7E96F" w:rsidR="00B55ECD" w:rsidRDefault="00B55ECD" w:rsidP="00B55ECD">
      <w:pPr>
        <w:pStyle w:val="ListParagraph"/>
        <w:numPr>
          <w:ilvl w:val="1"/>
          <w:numId w:val="1"/>
        </w:numPr>
      </w:pPr>
      <w:r>
        <w:t>Create a more useable, bigger</w:t>
      </w:r>
      <w:r w:rsidR="00C6566D">
        <w:t>/wider</w:t>
      </w:r>
      <w:r>
        <w:t xml:space="preserve"> entrance area</w:t>
      </w:r>
    </w:p>
    <w:p w14:paraId="46C53C12" w14:textId="1D395CA8" w:rsidR="00C6566D" w:rsidRDefault="00C6566D" w:rsidP="00B55ECD">
      <w:pPr>
        <w:pStyle w:val="ListParagraph"/>
        <w:numPr>
          <w:ilvl w:val="1"/>
          <w:numId w:val="1"/>
        </w:numPr>
      </w:pPr>
      <w:r>
        <w:t>Internet café-type area</w:t>
      </w:r>
    </w:p>
    <w:p w14:paraId="42D55C7B" w14:textId="10D22CF7" w:rsidR="00B55ECD" w:rsidRDefault="00B55ECD" w:rsidP="00B55ECD">
      <w:pPr>
        <w:pStyle w:val="ListParagraph"/>
        <w:numPr>
          <w:ilvl w:val="1"/>
          <w:numId w:val="1"/>
        </w:numPr>
      </w:pPr>
      <w:r>
        <w:t>Ensure</w:t>
      </w:r>
      <w:r w:rsidR="00661E9F">
        <w:t xml:space="preserve"> optimal solar capture</w:t>
      </w:r>
      <w:r>
        <w:t xml:space="preserve"> (through orientation as well as design – would also be positive to have view of sunset from indoor/outdoor sports access and viewing area</w:t>
      </w:r>
    </w:p>
    <w:p w14:paraId="54A2922A" w14:textId="349BC525" w:rsidR="00B55ECD" w:rsidRDefault="00B55ECD" w:rsidP="00B55ECD">
      <w:pPr>
        <w:pStyle w:val="ListParagraph"/>
        <w:numPr>
          <w:ilvl w:val="1"/>
          <w:numId w:val="1"/>
        </w:numPr>
      </w:pPr>
      <w:r>
        <w:t>Badminton requirement for c6m height but this would help with potential Sports England funding</w:t>
      </w:r>
    </w:p>
    <w:p w14:paraId="76450A71" w14:textId="48A380B2" w:rsidR="00B55ECD" w:rsidRPr="00C6566D" w:rsidRDefault="00B55ECD" w:rsidP="00B55ECD">
      <w:pPr>
        <w:pStyle w:val="ListParagraph"/>
        <w:numPr>
          <w:ilvl w:val="1"/>
          <w:numId w:val="1"/>
        </w:numPr>
      </w:pPr>
      <w:r w:rsidRPr="00C6566D">
        <w:t>Other indoor options that were also discussed for ongoing consideration include: table tennis, wheelchair basketball, pickleball, tennis, football</w:t>
      </w:r>
    </w:p>
    <w:p w14:paraId="673F5DFA" w14:textId="24075BE9" w:rsidR="00B55ECD" w:rsidRPr="00C6566D" w:rsidRDefault="00B55ECD" w:rsidP="00B55ECD">
      <w:pPr>
        <w:pStyle w:val="ListParagraph"/>
        <w:numPr>
          <w:ilvl w:val="1"/>
          <w:numId w:val="1"/>
        </w:numPr>
      </w:pPr>
      <w:r w:rsidRPr="00C6566D">
        <w:lastRenderedPageBreak/>
        <w:t>Indoor bouncy castles cannot be accommodated in current village hall due to low ceiling and this would be good to address for any new village hall</w:t>
      </w:r>
    </w:p>
    <w:p w14:paraId="187ACD8C" w14:textId="002DE418" w:rsidR="00E872C2" w:rsidRPr="00C6566D" w:rsidRDefault="00E872C2" w:rsidP="00B55ECD">
      <w:pPr>
        <w:pStyle w:val="ListParagraph"/>
        <w:numPr>
          <w:ilvl w:val="1"/>
          <w:numId w:val="1"/>
        </w:numPr>
      </w:pPr>
      <w:r w:rsidRPr="00C6566D">
        <w:t>Main hall should have a sprung floor</w:t>
      </w:r>
    </w:p>
    <w:p w14:paraId="2182DF70" w14:textId="0BA3AEF0" w:rsidR="00B55ECD" w:rsidRPr="00C6566D" w:rsidRDefault="00B55ECD" w:rsidP="00661E9F">
      <w:pPr>
        <w:pStyle w:val="ListParagraph"/>
        <w:numPr>
          <w:ilvl w:val="0"/>
          <w:numId w:val="1"/>
        </w:numPr>
      </w:pPr>
      <w:r w:rsidRPr="00C6566D">
        <w:rPr>
          <w:b/>
          <w:bCs/>
          <w:color w:val="FF0000"/>
        </w:rPr>
        <w:t xml:space="preserve">ACTION </w:t>
      </w:r>
      <w:r w:rsidRPr="00C6566D">
        <w:rPr>
          <w:b/>
          <w:bCs/>
        </w:rPr>
        <w:t xml:space="preserve">– </w:t>
      </w:r>
      <w:r w:rsidRPr="00380265">
        <w:rPr>
          <w:b/>
          <w:bCs/>
          <w:color w:val="FF0000"/>
        </w:rPr>
        <w:t>Judith</w:t>
      </w:r>
      <w:r w:rsidRPr="00380265">
        <w:rPr>
          <w:color w:val="FF0000"/>
        </w:rPr>
        <w:t xml:space="preserve"> </w:t>
      </w:r>
      <w:r w:rsidRPr="00C6566D">
        <w:t>to provide list of usage options, incorporating the above -and others already identified- for further discussions</w:t>
      </w:r>
      <w:r w:rsidR="00380265">
        <w:t xml:space="preserve"> (Steve to be included in circulation)</w:t>
      </w:r>
    </w:p>
    <w:p w14:paraId="16849F0C" w14:textId="5E9D100E" w:rsidR="00661E9F" w:rsidRPr="00C6566D" w:rsidRDefault="00B55ECD" w:rsidP="00C6566D">
      <w:pPr>
        <w:pStyle w:val="ListParagraph"/>
        <w:numPr>
          <w:ilvl w:val="0"/>
          <w:numId w:val="1"/>
        </w:numPr>
      </w:pPr>
      <w:r w:rsidRPr="00C6566D">
        <w:rPr>
          <w:b/>
          <w:bCs/>
          <w:color w:val="FF0000"/>
        </w:rPr>
        <w:t xml:space="preserve">ACTION </w:t>
      </w:r>
      <w:r w:rsidRPr="00C6566D">
        <w:rPr>
          <w:b/>
          <w:bCs/>
        </w:rPr>
        <w:t xml:space="preserve">– </w:t>
      </w:r>
      <w:r w:rsidR="00661E9F" w:rsidRPr="00380265">
        <w:rPr>
          <w:b/>
          <w:bCs/>
          <w:color w:val="FF0000"/>
        </w:rPr>
        <w:t>Steve</w:t>
      </w:r>
      <w:r w:rsidR="00661E9F" w:rsidRPr="00380265">
        <w:rPr>
          <w:color w:val="FF0000"/>
        </w:rPr>
        <w:t xml:space="preserve"> </w:t>
      </w:r>
      <w:r w:rsidR="00380265">
        <w:t xml:space="preserve">to </w:t>
      </w:r>
      <w:r w:rsidR="00661E9F" w:rsidRPr="00C6566D">
        <w:t>incorporate these ideas into the design (and CAD drawings) moving forwards</w:t>
      </w:r>
    </w:p>
    <w:p w14:paraId="7B6004ED" w14:textId="0E9FBDD6" w:rsidR="00C6566D" w:rsidRDefault="00C6566D" w:rsidP="00C6566D">
      <w:pPr>
        <w:ind w:left="360"/>
        <w:rPr>
          <w:u w:val="single"/>
        </w:rPr>
      </w:pPr>
      <w:r w:rsidRPr="00C6566D">
        <w:rPr>
          <w:u w:val="single"/>
        </w:rPr>
        <w:t>Timescales</w:t>
      </w:r>
    </w:p>
    <w:p w14:paraId="50C344A4" w14:textId="77777777" w:rsidR="00380265" w:rsidRDefault="00C6566D" w:rsidP="00C6566D">
      <w:pPr>
        <w:pStyle w:val="ListParagraph"/>
        <w:numPr>
          <w:ilvl w:val="0"/>
          <w:numId w:val="1"/>
        </w:numPr>
      </w:pPr>
      <w:r w:rsidRPr="00C6566D">
        <w:rPr>
          <w:b/>
          <w:bCs/>
          <w:color w:val="FF0000"/>
        </w:rPr>
        <w:t xml:space="preserve">ACTION </w:t>
      </w:r>
      <w:r w:rsidRPr="00C6566D">
        <w:rPr>
          <w:b/>
          <w:bCs/>
        </w:rPr>
        <w:t xml:space="preserve">– </w:t>
      </w:r>
      <w:r w:rsidRPr="00380265">
        <w:rPr>
          <w:b/>
          <w:bCs/>
          <w:color w:val="FF0000"/>
        </w:rPr>
        <w:t>Steve</w:t>
      </w:r>
      <w:r w:rsidRPr="00380265">
        <w:rPr>
          <w:color w:val="FF0000"/>
        </w:rPr>
        <w:t xml:space="preserve"> </w:t>
      </w:r>
      <w:r>
        <w:t xml:space="preserve">to work around the following high-level </w:t>
      </w:r>
      <w:r w:rsidR="00380265">
        <w:t xml:space="preserve">indicative </w:t>
      </w:r>
      <w:r>
        <w:t>timescales</w:t>
      </w:r>
    </w:p>
    <w:p w14:paraId="38ABD490" w14:textId="33ADC220" w:rsidR="00C6566D" w:rsidRDefault="00380265" w:rsidP="00C6566D">
      <w:pPr>
        <w:pStyle w:val="ListParagraph"/>
        <w:numPr>
          <w:ilvl w:val="0"/>
          <w:numId w:val="1"/>
        </w:numPr>
      </w:pPr>
      <w:r>
        <w:rPr>
          <w:b/>
          <w:bCs/>
          <w:color w:val="FF0000"/>
        </w:rPr>
        <w:t xml:space="preserve">ACTION </w:t>
      </w:r>
      <w:r w:rsidRPr="00380265">
        <w:rPr>
          <w:b/>
          <w:bCs/>
        </w:rPr>
        <w:t xml:space="preserve">– </w:t>
      </w:r>
      <w:r w:rsidRPr="00380265">
        <w:rPr>
          <w:b/>
          <w:bCs/>
          <w:color w:val="FF0000"/>
        </w:rPr>
        <w:t xml:space="preserve">Steve </w:t>
      </w:r>
      <w:r w:rsidRPr="00380265">
        <w:t xml:space="preserve">to provide </w:t>
      </w:r>
      <w:r>
        <w:t>likely costs moving forwards aligned to this</w:t>
      </w:r>
    </w:p>
    <w:p w14:paraId="0B4F0FC3" w14:textId="685C7309" w:rsidR="00C6566D" w:rsidRPr="00C6566D" w:rsidRDefault="00C6566D" w:rsidP="00C6566D">
      <w:pPr>
        <w:pStyle w:val="ListParagraph"/>
        <w:numPr>
          <w:ilvl w:val="0"/>
          <w:numId w:val="1"/>
        </w:numPr>
        <w:rPr>
          <w:b/>
          <w:bCs/>
        </w:rPr>
      </w:pPr>
      <w:r w:rsidRPr="00C6566D">
        <w:rPr>
          <w:b/>
          <w:bCs/>
        </w:rPr>
        <w:t>By end/12/23 – CAD d</w:t>
      </w:r>
      <w:r w:rsidR="00380265">
        <w:rPr>
          <w:b/>
          <w:bCs/>
        </w:rPr>
        <w:t>rawings</w:t>
      </w:r>
    </w:p>
    <w:p w14:paraId="2BE79D52" w14:textId="02EC9581" w:rsidR="00C6566D" w:rsidRDefault="00C6566D" w:rsidP="00C6566D">
      <w:pPr>
        <w:pStyle w:val="ListParagraph"/>
        <w:numPr>
          <w:ilvl w:val="1"/>
          <w:numId w:val="1"/>
        </w:numPr>
      </w:pPr>
      <w:r>
        <w:t xml:space="preserve">Incorporate: </w:t>
      </w:r>
      <w:r w:rsidR="00380265">
        <w:t xml:space="preserve">above items covered, </w:t>
      </w:r>
      <w:r>
        <w:t>usage options (see above), heat pumps, utilities yard for bins etc, airflow considerations, ability to host large events e.g. weddings</w:t>
      </w:r>
    </w:p>
    <w:p w14:paraId="3751DE99" w14:textId="765C1C3F" w:rsidR="00C6566D" w:rsidRPr="00C6566D" w:rsidRDefault="00C6566D" w:rsidP="00C6566D">
      <w:pPr>
        <w:pStyle w:val="ListParagraph"/>
        <w:numPr>
          <w:ilvl w:val="0"/>
          <w:numId w:val="1"/>
        </w:numPr>
        <w:rPr>
          <w:b/>
          <w:bCs/>
        </w:rPr>
      </w:pPr>
      <w:r w:rsidRPr="00C6566D">
        <w:rPr>
          <w:b/>
          <w:bCs/>
        </w:rPr>
        <w:t>By end/12/23 – Construction summary</w:t>
      </w:r>
    </w:p>
    <w:p w14:paraId="1934F61A" w14:textId="0FA5EAC1" w:rsidR="00C6566D" w:rsidRDefault="00C6566D" w:rsidP="00C6566D">
      <w:pPr>
        <w:pStyle w:val="ListParagraph"/>
        <w:numPr>
          <w:ilvl w:val="1"/>
          <w:numId w:val="1"/>
        </w:numPr>
      </w:pPr>
      <w:r>
        <w:t>Likely 5-6 pages</w:t>
      </w:r>
    </w:p>
    <w:p w14:paraId="023C628B" w14:textId="676CB700" w:rsidR="00C6566D" w:rsidRDefault="00C6566D" w:rsidP="00C6566D">
      <w:pPr>
        <w:pStyle w:val="ListParagraph"/>
        <w:numPr>
          <w:ilvl w:val="1"/>
          <w:numId w:val="1"/>
        </w:numPr>
      </w:pPr>
      <w:r>
        <w:t>Provides key input for Quantity Surveyor</w:t>
      </w:r>
    </w:p>
    <w:p w14:paraId="2CFBB1A0" w14:textId="094AD010" w:rsidR="00380265" w:rsidRDefault="00380265" w:rsidP="00C6566D">
      <w:pPr>
        <w:pStyle w:val="ListParagraph"/>
        <w:numPr>
          <w:ilvl w:val="1"/>
          <w:numId w:val="1"/>
        </w:numPr>
      </w:pPr>
      <w:r>
        <w:t>Provides high-level cost update</w:t>
      </w:r>
    </w:p>
    <w:p w14:paraId="1B273D1D" w14:textId="1EA81A47" w:rsidR="00380265" w:rsidRDefault="00380265" w:rsidP="00C6566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By end/12/23 – Identify funding sources and strategy</w:t>
      </w:r>
    </w:p>
    <w:p w14:paraId="2E8DB3A1" w14:textId="71AD29BD" w:rsidR="00380265" w:rsidRDefault="00C6566D" w:rsidP="00C6566D">
      <w:pPr>
        <w:pStyle w:val="ListParagraph"/>
        <w:numPr>
          <w:ilvl w:val="0"/>
          <w:numId w:val="1"/>
        </w:numPr>
        <w:rPr>
          <w:b/>
          <w:bCs/>
        </w:rPr>
      </w:pPr>
      <w:r w:rsidRPr="00C6566D">
        <w:rPr>
          <w:b/>
          <w:bCs/>
        </w:rPr>
        <w:t xml:space="preserve">By end/1/24 – Iterative </w:t>
      </w:r>
      <w:r w:rsidR="00380265">
        <w:rPr>
          <w:b/>
          <w:bCs/>
        </w:rPr>
        <w:t xml:space="preserve">high-level </w:t>
      </w:r>
      <w:r>
        <w:rPr>
          <w:b/>
          <w:bCs/>
        </w:rPr>
        <w:t>design</w:t>
      </w:r>
      <w:r w:rsidR="00380265">
        <w:rPr>
          <w:b/>
          <w:bCs/>
        </w:rPr>
        <w:t xml:space="preserve"> work</w:t>
      </w:r>
    </w:p>
    <w:p w14:paraId="7C3611AA" w14:textId="493F5946" w:rsidR="00380265" w:rsidRDefault="00380265" w:rsidP="00380265">
      <w:pPr>
        <w:pStyle w:val="ListParagraph"/>
        <w:numPr>
          <w:ilvl w:val="1"/>
          <w:numId w:val="1"/>
        </w:numPr>
      </w:pPr>
      <w:r>
        <w:t>Working Group and architect to tweak and improve the design as it develops</w:t>
      </w:r>
    </w:p>
    <w:p w14:paraId="69B382DA" w14:textId="01AF6D1F" w:rsidR="00C6566D" w:rsidRPr="00380265" w:rsidRDefault="00380265" w:rsidP="00C6566D">
      <w:pPr>
        <w:pStyle w:val="ListParagraph"/>
        <w:numPr>
          <w:ilvl w:val="0"/>
          <w:numId w:val="1"/>
        </w:numPr>
        <w:rPr>
          <w:b/>
          <w:bCs/>
        </w:rPr>
      </w:pPr>
      <w:r w:rsidRPr="00380265">
        <w:rPr>
          <w:b/>
          <w:bCs/>
        </w:rPr>
        <w:t xml:space="preserve">By end/1/24 – </w:t>
      </w:r>
      <w:r>
        <w:rPr>
          <w:b/>
          <w:bCs/>
        </w:rPr>
        <w:t>Identify a</w:t>
      </w:r>
      <w:r w:rsidRPr="00380265">
        <w:rPr>
          <w:b/>
          <w:bCs/>
        </w:rPr>
        <w:t>pproximate costs</w:t>
      </w:r>
    </w:p>
    <w:p w14:paraId="1BC523AC" w14:textId="24500754" w:rsidR="00380265" w:rsidRDefault="00380265" w:rsidP="00380265">
      <w:pPr>
        <w:pStyle w:val="ListParagraph"/>
        <w:numPr>
          <w:ilvl w:val="1"/>
          <w:numId w:val="1"/>
        </w:numPr>
      </w:pPr>
      <w:r>
        <w:t>Based on the above</w:t>
      </w:r>
    </w:p>
    <w:p w14:paraId="1A0A2334" w14:textId="77777777" w:rsidR="00380265" w:rsidRPr="00380265" w:rsidRDefault="00380265" w:rsidP="00380265">
      <w:pPr>
        <w:pStyle w:val="ListParagraph"/>
        <w:numPr>
          <w:ilvl w:val="0"/>
          <w:numId w:val="1"/>
        </w:numPr>
        <w:rPr>
          <w:b/>
          <w:bCs/>
        </w:rPr>
      </w:pPr>
      <w:r w:rsidRPr="00380265">
        <w:rPr>
          <w:b/>
          <w:bCs/>
        </w:rPr>
        <w:t>By end/3/24 – Application preparation</w:t>
      </w:r>
    </w:p>
    <w:p w14:paraId="2AD4FEC8" w14:textId="0D0BF1DE" w:rsidR="00380265" w:rsidRDefault="00380265" w:rsidP="00380265">
      <w:pPr>
        <w:pStyle w:val="ListParagraph"/>
        <w:numPr>
          <w:ilvl w:val="1"/>
          <w:numId w:val="1"/>
        </w:numPr>
      </w:pPr>
      <w:r>
        <w:t>Seek pre-application advice</w:t>
      </w:r>
    </w:p>
    <w:p w14:paraId="01B0E30B" w14:textId="43A35DCC" w:rsidR="00380265" w:rsidRDefault="00380265" w:rsidP="00380265">
      <w:pPr>
        <w:pStyle w:val="ListParagraph"/>
        <w:numPr>
          <w:ilvl w:val="1"/>
          <w:numId w:val="1"/>
        </w:numPr>
      </w:pPr>
      <w:r>
        <w:t>Consider outline planning permission versus full planning permission</w:t>
      </w:r>
    </w:p>
    <w:p w14:paraId="05A0C1A2" w14:textId="7E39716D" w:rsidR="00380265" w:rsidRPr="00380265" w:rsidRDefault="00380265" w:rsidP="00380265">
      <w:pPr>
        <w:pStyle w:val="ListParagraph"/>
        <w:numPr>
          <w:ilvl w:val="0"/>
          <w:numId w:val="1"/>
        </w:numPr>
        <w:rPr>
          <w:b/>
          <w:bCs/>
        </w:rPr>
      </w:pPr>
      <w:r w:rsidRPr="00380265">
        <w:rPr>
          <w:b/>
          <w:bCs/>
        </w:rPr>
        <w:t>By end/6/24 – Planning permission</w:t>
      </w:r>
    </w:p>
    <w:p w14:paraId="45372590" w14:textId="77777777" w:rsidR="00380265" w:rsidRDefault="00380265" w:rsidP="00380265">
      <w:pPr>
        <w:pStyle w:val="ListParagraph"/>
        <w:numPr>
          <w:ilvl w:val="1"/>
          <w:numId w:val="1"/>
        </w:numPr>
      </w:pPr>
      <w:r>
        <w:t>Seek outcome from WODC Planning</w:t>
      </w:r>
    </w:p>
    <w:p w14:paraId="3F29D1A5" w14:textId="6C8C9FD3" w:rsidR="00380265" w:rsidRDefault="00380265" w:rsidP="00380265">
      <w:pPr>
        <w:pStyle w:val="ListParagraph"/>
        <w:numPr>
          <w:ilvl w:val="1"/>
          <w:numId w:val="1"/>
        </w:numPr>
      </w:pPr>
      <w:r>
        <w:t>This will help considerably towards the funding strategy</w:t>
      </w:r>
    </w:p>
    <w:p w14:paraId="62B6F28F" w14:textId="3AE6DEF2" w:rsidR="00380265" w:rsidRPr="00380265" w:rsidRDefault="00380265" w:rsidP="00380265">
      <w:pPr>
        <w:rPr>
          <w:u w:val="single"/>
        </w:rPr>
      </w:pPr>
      <w:r w:rsidRPr="00380265">
        <w:rPr>
          <w:u w:val="single"/>
        </w:rPr>
        <w:t>Next meeting</w:t>
      </w:r>
    </w:p>
    <w:p w14:paraId="1A5CAA92" w14:textId="5FD1BD63" w:rsidR="00380265" w:rsidRDefault="00380265" w:rsidP="00380265">
      <w:pPr>
        <w:pStyle w:val="ListParagraph"/>
        <w:numPr>
          <w:ilvl w:val="0"/>
          <w:numId w:val="1"/>
        </w:numPr>
      </w:pPr>
      <w:r>
        <w:t>To be held in Jan-24</w:t>
      </w:r>
    </w:p>
    <w:p w14:paraId="4ED35D61" w14:textId="4B3F7774" w:rsidR="00380265" w:rsidRPr="00380265" w:rsidRDefault="00380265" w:rsidP="00380265">
      <w:pPr>
        <w:rPr>
          <w:b/>
          <w:bCs/>
        </w:rPr>
      </w:pPr>
      <w:r w:rsidRPr="00380265">
        <w:rPr>
          <w:b/>
          <w:bCs/>
        </w:rPr>
        <w:t>END</w:t>
      </w:r>
      <w:r>
        <w:rPr>
          <w:b/>
          <w:bCs/>
        </w:rPr>
        <w:t xml:space="preserve"> OF MEETING</w:t>
      </w:r>
    </w:p>
    <w:sectPr w:rsidR="00380265" w:rsidRPr="00380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28"/>
    <w:multiLevelType w:val="hybridMultilevel"/>
    <w:tmpl w:val="D4D0C362"/>
    <w:lvl w:ilvl="0" w:tplc="9B826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57718"/>
    <w:multiLevelType w:val="hybridMultilevel"/>
    <w:tmpl w:val="60DA25FE"/>
    <w:lvl w:ilvl="0" w:tplc="291A4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596406">
    <w:abstractNumId w:val="0"/>
  </w:num>
  <w:num w:numId="2" w16cid:durableId="346638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9F"/>
    <w:rsid w:val="00380265"/>
    <w:rsid w:val="00661E9F"/>
    <w:rsid w:val="006E0335"/>
    <w:rsid w:val="00B55ECD"/>
    <w:rsid w:val="00B950E8"/>
    <w:rsid w:val="00C6566D"/>
    <w:rsid w:val="00E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1A4A"/>
  <w15:chartTrackingRefBased/>
  <w15:docId w15:val="{B842F8DC-78DA-491D-A80E-B14503C7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Smith</dc:creator>
  <cp:keywords/>
  <dc:description/>
  <cp:lastModifiedBy>Miranda Harrison</cp:lastModifiedBy>
  <cp:revision>2</cp:revision>
  <dcterms:created xsi:type="dcterms:W3CDTF">2023-12-06T21:09:00Z</dcterms:created>
  <dcterms:modified xsi:type="dcterms:W3CDTF">2023-12-06T21:09:00Z</dcterms:modified>
</cp:coreProperties>
</file>